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992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 w14:paraId="5DC2878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创作要求</w:t>
      </w:r>
    </w:p>
    <w:p w14:paraId="1B1C329F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1.该作品的创作须包含旋律创作、编曲、总谱编写、音频制作、乐曲录音、后期混音制作以及节目排练编导全过程。</w:t>
      </w:r>
    </w:p>
    <w:p w14:paraId="2EFB64AA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2.该作品须围绕“凤阳花鼓”主题创作，本着“讲好安徽的故事”、传承好非物质文化遗产、弘扬主旋律的宗旨，体现思想性、艺术性。</w:t>
      </w:r>
    </w:p>
    <w:p w14:paraId="4FE692CC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3.该作品须运用“凤阳花鼓”音乐为素材、以新民乐为创作基础，体现“凤阳花鼓”在新时代的全新底蕴，音频制作需包含真实乐器和电声录音。</w:t>
      </w:r>
    </w:p>
    <w:p w14:paraId="55F75C6C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4.为保证原创作品的质量，要求乐曲创作制作人须具有一定创作实践的专业技术人员，签约经纪公司，在全网发行过创作单曲不低于30首，并从事过音乐、文学创作的艺术家，同时，节目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排练的编导必须具备国家二级以上专业技术职称，此前创作的作品在国家级艺术赛事或展演中获金奖。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3FFC"/>
    <w:rsid w:val="0680095F"/>
    <w:rsid w:val="1B184FDB"/>
    <w:rsid w:val="1BA806AD"/>
    <w:rsid w:val="5CE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278</Characters>
  <Lines>0</Lines>
  <Paragraphs>0</Paragraphs>
  <TotalTime>4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2024-12-06T04:56:00Z</dcterms:created>
  <dc:creator>Administrator</dc:creator>
  <cp:lastModifiedBy>曲院风荷</cp:lastModifiedBy>
  <dcterms:modified xsi:type="dcterms:W3CDTF">2024-12-23T11:26:25Z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8260DC9250074A92B696660CEC099911_13</vt:lpwstr>
  </property>
</Properties>
</file>